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F7" w:rsidRDefault="00392EF7"/>
    <w:p w:rsidR="00392EF7" w:rsidRDefault="00392EF7"/>
    <w:p w:rsidR="00392EF7" w:rsidRDefault="00392EF7"/>
    <w:p w:rsidR="00392EF7" w:rsidRPr="00392EF7" w:rsidRDefault="00392EF7" w:rsidP="00392EF7">
      <w:pPr>
        <w:ind w:left="142"/>
        <w:jc w:val="center"/>
        <w:rPr>
          <w:sz w:val="22"/>
        </w:rPr>
      </w:pPr>
      <w:r w:rsidRPr="00392EF7">
        <w:rPr>
          <w:sz w:val="22"/>
        </w:rPr>
        <w:t>Расчет фактических расходов на выполнение мероприятий по технологическому присоединению</w:t>
      </w:r>
      <w:r>
        <w:rPr>
          <w:sz w:val="22"/>
        </w:rPr>
        <w:t xml:space="preserve"> ООО «БСК» в тысячах рублей за 2018-2019 гг.</w:t>
      </w:r>
    </w:p>
    <w:p w:rsidR="00392EF7" w:rsidRDefault="00392EF7" w:rsidP="00392EF7">
      <w:pPr>
        <w:ind w:left="142"/>
        <w:jc w:val="center"/>
      </w:pPr>
    </w:p>
    <w:p w:rsidR="00392EF7" w:rsidRDefault="00392EF7" w:rsidP="00392EF7">
      <w:pPr>
        <w:ind w:left="142"/>
        <w:jc w:val="center"/>
      </w:pPr>
    </w:p>
    <w:p w:rsidR="00392EF7" w:rsidRDefault="00392EF7" w:rsidP="00392EF7">
      <w:pPr>
        <w:ind w:left="142"/>
        <w:jc w:val="center"/>
      </w:pPr>
    </w:p>
    <w:tbl>
      <w:tblPr>
        <w:tblStyle w:val="TableGrid"/>
        <w:tblW w:w="717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634"/>
        <w:gridCol w:w="392"/>
        <w:gridCol w:w="2546"/>
        <w:gridCol w:w="1709"/>
        <w:gridCol w:w="1896"/>
      </w:tblGrid>
      <w:tr w:rsidR="00392EF7" w:rsidTr="00906111">
        <w:trPr>
          <w:trHeight w:val="544"/>
          <w:jc w:val="center"/>
        </w:trPr>
        <w:tc>
          <w:tcPr>
            <w:tcW w:w="634" w:type="dxa"/>
            <w:vAlign w:val="center"/>
          </w:tcPr>
          <w:p w:rsidR="00392EF7" w:rsidRDefault="00392EF7" w:rsidP="00392EF7">
            <w:pPr>
              <w:ind w:left="23" w:firstLine="5"/>
              <w:jc w:val="center"/>
            </w:pPr>
            <w:bookmarkStart w:id="0" w:name="_GoBack"/>
            <w:r>
              <w:t>№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22"/>
              <w:jc w:val="center"/>
            </w:pPr>
            <w:r>
              <w:t>Показатели</w:t>
            </w:r>
          </w:p>
        </w:tc>
        <w:tc>
          <w:tcPr>
            <w:tcW w:w="1709" w:type="dxa"/>
            <w:vAlign w:val="center"/>
          </w:tcPr>
          <w:p w:rsidR="00392EF7" w:rsidRDefault="00392EF7" w:rsidP="00906111">
            <w:pPr>
              <w:ind w:left="17"/>
              <w:jc w:val="center"/>
            </w:pPr>
            <w:r>
              <w:t>Данные за 2019 год</w:t>
            </w:r>
          </w:p>
        </w:tc>
        <w:tc>
          <w:tcPr>
            <w:tcW w:w="1896" w:type="dxa"/>
            <w:vAlign w:val="center"/>
          </w:tcPr>
          <w:p w:rsidR="00392EF7" w:rsidRDefault="00392EF7" w:rsidP="00906111">
            <w:pPr>
              <w:ind w:left="13"/>
              <w:jc w:val="center"/>
            </w:pPr>
            <w:r>
              <w:t>Данные за 2018 год</w:t>
            </w:r>
          </w:p>
        </w:tc>
      </w:tr>
      <w:tr w:rsidR="00392EF7" w:rsidTr="00906111">
        <w:trPr>
          <w:trHeight w:val="629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41"/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23" w:firstLine="5"/>
            </w:pPr>
            <w:r>
              <w:t>Расходы по выполнению мероприятий по технологическому присоединению, всего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1</w:t>
            </w:r>
            <w:r w:rsidRPr="002C1ED6">
              <w:t>084</w:t>
            </w:r>
          </w:p>
        </w:tc>
      </w:tr>
      <w:tr w:rsidR="00392EF7" w:rsidTr="00906111">
        <w:trPr>
          <w:trHeight w:val="210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36"/>
              <w:jc w:val="center"/>
            </w:pPr>
            <w:r>
              <w:t>1.1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182"/>
            </w:pPr>
            <w:r>
              <w:t>Вспомогательные материалы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 xml:space="preserve"> 0</w:t>
            </w:r>
          </w:p>
        </w:tc>
      </w:tr>
      <w:tr w:rsidR="00392EF7" w:rsidTr="00906111">
        <w:trPr>
          <w:trHeight w:val="207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46"/>
              <w:jc w:val="center"/>
            </w:pPr>
            <w:r>
              <w:t>1.2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tabs>
                <w:tab w:val="center" w:pos="1096"/>
                <w:tab w:val="center" w:pos="2462"/>
              </w:tabs>
              <w:ind w:left="0"/>
            </w:pPr>
            <w:r>
              <w:tab/>
              <w:t>Энергия на хозяйственные</w:t>
            </w:r>
            <w:r>
              <w:tab/>
              <w:t>нужды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211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41"/>
              <w:jc w:val="center"/>
            </w:pPr>
            <w:r>
              <w:t>1.3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0" w:right="117"/>
            </w:pPr>
            <w:r>
              <w:t xml:space="preserve">     Оплата труда ППП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831</w:t>
            </w:r>
          </w:p>
        </w:tc>
      </w:tr>
      <w:tr w:rsidR="00392EF7" w:rsidTr="00906111">
        <w:trPr>
          <w:trHeight w:val="209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46"/>
              <w:jc w:val="center"/>
            </w:pPr>
            <w:r>
              <w:t>1.4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0" w:right="11"/>
            </w:pPr>
            <w:r>
              <w:t xml:space="preserve">     Отчисления на страховые взносы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249</w:t>
            </w:r>
          </w:p>
        </w:tc>
      </w:tr>
      <w:tr w:rsidR="00392EF7" w:rsidTr="00906111">
        <w:trPr>
          <w:trHeight w:val="429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36"/>
              <w:jc w:val="center"/>
            </w:pPr>
            <w:r>
              <w:t>1.5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182"/>
            </w:pPr>
            <w:r>
              <w:t>Прочие расходы, всего, в том числе: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425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26"/>
              <w:jc w:val="center"/>
            </w:pPr>
            <w:r>
              <w:t>1.5.1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spacing w:after="1"/>
              <w:ind w:left="331"/>
            </w:pPr>
            <w:r>
              <w:t>работы и услуги производственного</w:t>
            </w:r>
          </w:p>
          <w:p w:rsidR="00392EF7" w:rsidRDefault="00392EF7" w:rsidP="00906111">
            <w:pPr>
              <w:ind w:left="331"/>
            </w:pPr>
            <w:r>
              <w:t>характера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635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36"/>
              <w:jc w:val="center"/>
            </w:pPr>
            <w:r>
              <w:t>1.5.2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331" w:right="136" w:firstLine="5"/>
              <w:jc w:val="both"/>
            </w:pPr>
            <w:r>
              <w:t>налоги и сборы, уменьшающие налогооблагаемую базу на прибыль организаций, всего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624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31"/>
              <w:jc w:val="center"/>
            </w:pPr>
            <w:r>
              <w:t>1.5.3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326" w:right="237" w:firstLine="5"/>
              <w:jc w:val="both"/>
            </w:pPr>
            <w:r>
              <w:t>работы и услуги непроизводственного характера, в том числе: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>3</w:t>
            </w:r>
          </w:p>
        </w:tc>
      </w:tr>
      <w:tr w:rsidR="00392EF7" w:rsidTr="00906111">
        <w:trPr>
          <w:trHeight w:val="211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spacing w:after="160"/>
              <w:ind w:left="0"/>
            </w:pPr>
            <w:r>
              <w:t xml:space="preserve">   1.5.3.1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349" w:firstLine="141"/>
            </w:pPr>
            <w:r>
              <w:t>услуги связи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425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36"/>
              <w:jc w:val="center"/>
            </w:pPr>
            <w:r>
              <w:t>1.5.3.2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479"/>
            </w:pPr>
            <w:r>
              <w:t>расходы на охрану и пожарную безопасность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1164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spacing w:after="429"/>
              <w:ind w:left="26"/>
              <w:jc w:val="center"/>
            </w:pPr>
            <w:r>
              <w:t>1.5.3.3</w:t>
            </w:r>
          </w:p>
          <w:p w:rsidR="00392EF7" w:rsidRDefault="00392EF7" w:rsidP="00906111">
            <w:pPr>
              <w:ind w:left="26"/>
              <w:jc w:val="center"/>
            </w:pP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spacing w:line="290" w:lineRule="auto"/>
              <w:ind w:left="479"/>
            </w:pPr>
            <w:r>
              <w:t>расходы на информационное обслуживание, иные услуги,</w:t>
            </w:r>
          </w:p>
          <w:p w:rsidR="00392EF7" w:rsidRDefault="00392EF7" w:rsidP="00906111">
            <w:pPr>
              <w:ind w:left="475" w:firstLine="5"/>
              <w:jc w:val="both"/>
            </w:pPr>
            <w:r>
              <w:t>связанные с деятельностью по технологическому присоединению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321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26"/>
              <w:jc w:val="center"/>
            </w:pPr>
            <w:r>
              <w:t>1.5.3.4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spacing w:line="290" w:lineRule="auto"/>
              <w:ind w:left="479"/>
            </w:pPr>
            <w:r>
              <w:t>плата за аренду имущества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725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22"/>
              <w:jc w:val="center"/>
            </w:pPr>
            <w:r>
              <w:t>1.5.3.5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tabs>
                <w:tab w:val="center" w:pos="888"/>
                <w:tab w:val="center" w:pos="1627"/>
                <w:tab w:val="center" w:pos="2152"/>
              </w:tabs>
              <w:spacing w:after="116"/>
              <w:ind w:left="349"/>
            </w:pPr>
            <w:r>
              <w:tab/>
              <w:t xml:space="preserve">  другие прочие расходы, связанные       с производством и реализацией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>3</w:t>
            </w:r>
          </w:p>
        </w:tc>
      </w:tr>
      <w:tr w:rsidR="00392EF7" w:rsidTr="00906111">
        <w:trPr>
          <w:trHeight w:val="209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31"/>
              <w:jc w:val="center"/>
            </w:pPr>
            <w:r>
              <w:t>1.6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:rsidR="00392EF7" w:rsidRDefault="00392EF7" w:rsidP="00906111">
            <w:pPr>
              <w:ind w:left="172"/>
            </w:pPr>
            <w:r>
              <w:t>Внереализационные расходы, всего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</w:tr>
      <w:tr w:rsidR="00392EF7" w:rsidTr="00906111">
        <w:trPr>
          <w:trHeight w:val="208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2"/>
              <w:jc w:val="center"/>
            </w:pPr>
            <w:r>
              <w:t>1.6.1</w:t>
            </w: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392EF7" w:rsidRDefault="00392EF7" w:rsidP="00906111">
            <w:pPr>
              <w:spacing w:after="160"/>
              <w:ind w:left="0"/>
            </w:pP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392EF7" w:rsidRDefault="00392EF7" w:rsidP="00906111">
            <w:pPr>
              <w:ind w:left="15"/>
            </w:pPr>
            <w:r>
              <w:t>расходы на услуги банков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211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17"/>
              <w:jc w:val="center"/>
            </w:pPr>
            <w:r>
              <w:t>1.6.2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:rsidR="00392EF7" w:rsidRDefault="00392EF7" w:rsidP="00906111">
            <w:pPr>
              <w:ind w:left="321"/>
            </w:pPr>
            <w:r>
              <w:t>% за пользование кредитом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209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12"/>
              <w:jc w:val="center"/>
            </w:pPr>
            <w:r>
              <w:t>1.6.3</w:t>
            </w:r>
          </w:p>
        </w:tc>
        <w:tc>
          <w:tcPr>
            <w:tcW w:w="392" w:type="dxa"/>
            <w:tcBorders>
              <w:right w:val="nil"/>
            </w:tcBorders>
            <w:vAlign w:val="center"/>
          </w:tcPr>
          <w:p w:rsidR="00392EF7" w:rsidRDefault="00392EF7" w:rsidP="00906111">
            <w:pPr>
              <w:spacing w:after="160"/>
              <w:ind w:left="0"/>
            </w:pP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392EF7" w:rsidRDefault="00392EF7" w:rsidP="00906111">
            <w:pPr>
              <w:ind w:left="97"/>
            </w:pPr>
            <w:r>
              <w:t>прочие обоснованные расходы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 w:rsidRPr="002C1ED6"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spacing w:after="160"/>
              <w:ind w:left="23" w:firstLine="5"/>
              <w:jc w:val="center"/>
            </w:pPr>
            <w:r>
              <w:t>0</w:t>
            </w:r>
          </w:p>
        </w:tc>
      </w:tr>
      <w:tr w:rsidR="00392EF7" w:rsidTr="00906111">
        <w:trPr>
          <w:trHeight w:val="686"/>
          <w:jc w:val="center"/>
        </w:trPr>
        <w:tc>
          <w:tcPr>
            <w:tcW w:w="634" w:type="dxa"/>
            <w:vAlign w:val="center"/>
          </w:tcPr>
          <w:p w:rsidR="00392EF7" w:rsidRDefault="00392EF7" w:rsidP="00906111">
            <w:pPr>
              <w:ind w:left="17"/>
              <w:jc w:val="center"/>
            </w:pPr>
            <w:r>
              <w:t>1.6.4</w:t>
            </w:r>
          </w:p>
        </w:tc>
        <w:tc>
          <w:tcPr>
            <w:tcW w:w="2938" w:type="dxa"/>
            <w:gridSpan w:val="2"/>
            <w:vAlign w:val="center"/>
          </w:tcPr>
          <w:p w:rsidR="00392EF7" w:rsidRDefault="00392EF7" w:rsidP="00906111">
            <w:pPr>
              <w:ind w:left="490"/>
            </w:pPr>
            <w:r>
              <w:t>денежные выплаты социального характера (по Коллективному договору)</w:t>
            </w:r>
          </w:p>
        </w:tc>
        <w:tc>
          <w:tcPr>
            <w:tcW w:w="1709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  <w:tc>
          <w:tcPr>
            <w:tcW w:w="1896" w:type="dxa"/>
            <w:vAlign w:val="center"/>
          </w:tcPr>
          <w:p w:rsidR="00392EF7" w:rsidRPr="002C1ED6" w:rsidRDefault="00392EF7" w:rsidP="00906111">
            <w:pPr>
              <w:ind w:left="23" w:firstLine="5"/>
              <w:jc w:val="center"/>
            </w:pPr>
            <w:r>
              <w:t>0</w:t>
            </w:r>
          </w:p>
        </w:tc>
      </w:tr>
      <w:bookmarkEnd w:id="0"/>
    </w:tbl>
    <w:p w:rsidR="00392EF7" w:rsidRDefault="00392EF7" w:rsidP="00392EF7">
      <w:pPr>
        <w:ind w:left="142"/>
        <w:jc w:val="center"/>
      </w:pPr>
    </w:p>
    <w:sectPr w:rsidR="00392EF7">
      <w:pgSz w:w="11920" w:h="16840"/>
      <w:pgMar w:top="111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53"/>
    <w:rsid w:val="002C1ED6"/>
    <w:rsid w:val="00392EF7"/>
    <w:rsid w:val="00991B88"/>
    <w:rsid w:val="00D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6C3D"/>
  <w15:docId w15:val="{0BF62AE9-A62F-4107-8F81-684A8C0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/>
      <w:ind w:left="4892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 Герман Раулевич</dc:creator>
  <cp:keywords/>
  <cp:lastModifiedBy>Зайнуллин Герман Раулевич</cp:lastModifiedBy>
  <cp:revision>2</cp:revision>
  <dcterms:created xsi:type="dcterms:W3CDTF">2023-04-10T11:22:00Z</dcterms:created>
  <dcterms:modified xsi:type="dcterms:W3CDTF">2023-04-10T11:22:00Z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1355266088</vt:i4>
  </property>
</Properties>
</file>